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334F55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334F55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0A34C7">
        <w:rPr>
          <w:sz w:val="28"/>
        </w:rPr>
        <w:t xml:space="preserve">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Гурьянова Андрея </w:t>
      </w:r>
      <w:r>
        <w:rPr>
          <w:sz w:val="28"/>
          <w:szCs w:val="28"/>
        </w:rPr>
        <w:t>Сергеевича</w:t>
      </w:r>
      <w:r w:rsidRPr="00327ADE" w:rsidR="00B323AC">
        <w:rPr>
          <w:sz w:val="28"/>
          <w:szCs w:val="28"/>
        </w:rPr>
        <w:t xml:space="preserve">, </w:t>
      </w:r>
      <w:r w:rsidR="00334F55">
        <w:rPr>
          <w:sz w:val="28"/>
          <w:szCs w:val="28"/>
        </w:rPr>
        <w:t>***</w:t>
      </w:r>
      <w:r w:rsidRPr="009B288A" w:rsidR="009B288A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8F5CDF">
        <w:rPr>
          <w:sz w:val="28"/>
          <w:szCs w:val="28"/>
        </w:rPr>
        <w:t>Гурьянов А.С.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8F5CDF">
        <w:rPr>
          <w:sz w:val="28"/>
          <w:szCs w:val="28"/>
        </w:rPr>
        <w:t>генеральным директором ООО «ЦЗС»</w:t>
      </w:r>
      <w:r w:rsidRPr="00327ADE" w:rsidR="008F5CDF">
        <w:rPr>
          <w:sz w:val="28"/>
          <w:szCs w:val="28"/>
        </w:rPr>
        <w:t xml:space="preserve">, находящегося по адресу: ХМАО-Югра г.Нягань, </w:t>
      </w:r>
      <w:r w:rsidR="008F5CDF">
        <w:rPr>
          <w:sz w:val="28"/>
          <w:szCs w:val="28"/>
        </w:rPr>
        <w:t>10 микрорайон, дом 12,</w:t>
      </w:r>
      <w:r w:rsidRPr="00327ADE" w:rsidR="008F5CDF">
        <w:rPr>
          <w:sz w:val="28"/>
          <w:szCs w:val="28"/>
        </w:rPr>
        <w:t xml:space="preserve"> кв</w:t>
      </w:r>
      <w:r w:rsidR="008F5CDF">
        <w:rPr>
          <w:sz w:val="28"/>
          <w:szCs w:val="28"/>
        </w:rPr>
        <w:t>артира 37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 xml:space="preserve"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</w:t>
      </w:r>
      <w:r w:rsidR="009B288A">
        <w:rPr>
          <w:sz w:val="28"/>
        </w:rPr>
        <w:t xml:space="preserve">на </w:t>
      </w:r>
      <w:r w:rsidRPr="005306D9" w:rsidR="0000278F">
        <w:rPr>
          <w:sz w:val="28"/>
        </w:rPr>
        <w:t>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8F5CDF">
        <w:rPr>
          <w:sz w:val="28"/>
          <w:szCs w:val="28"/>
        </w:rPr>
        <w:t>Гурьянов А.С.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</w:t>
      </w:r>
      <w:r w:rsidRPr="00F53659">
        <w:rPr>
          <w:color w:val="auto"/>
          <w:spacing w:val="-2"/>
          <w:sz w:val="28"/>
          <w:szCs w:val="28"/>
          <w:lang w:val="x-none"/>
        </w:rPr>
        <w:t>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F53659">
        <w:rPr>
          <w:color w:val="auto"/>
          <w:spacing w:val="-2"/>
          <w:sz w:val="28"/>
          <w:szCs w:val="28"/>
          <w:lang w:val="x-none"/>
        </w:rPr>
        <w:t>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</w:t>
      </w:r>
      <w:r w:rsidRPr="00F53659">
        <w:rPr>
          <w:color w:val="auto"/>
          <w:spacing w:val="-2"/>
          <w:sz w:val="28"/>
          <w:szCs w:val="28"/>
          <w:lang w:val="x-none"/>
        </w:rPr>
        <w:t>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8F5CDF">
        <w:rPr>
          <w:sz w:val="28"/>
          <w:szCs w:val="28"/>
        </w:rPr>
        <w:t>Гурьянова А.С.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</w:t>
      </w:r>
      <w:r>
        <w:rPr>
          <w:sz w:val="28"/>
          <w:szCs w:val="28"/>
        </w:rPr>
        <w:t xml:space="preserve">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</w:t>
      </w:r>
      <w:r w:rsidRPr="005306D9">
        <w:rPr>
          <w:sz w:val="28"/>
        </w:rPr>
        <w:t>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</w:t>
      </w:r>
      <w:r w:rsidRPr="005306D9">
        <w:rPr>
          <w:sz w:val="28"/>
        </w:rPr>
        <w:t xml:space="preserve">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</w:t>
      </w:r>
      <w:r w:rsidRPr="005306D9">
        <w:rPr>
          <w:sz w:val="28"/>
        </w:rPr>
        <w:t>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8F5CDF">
        <w:rPr>
          <w:sz w:val="28"/>
          <w:szCs w:val="28"/>
        </w:rPr>
        <w:t>ООО «ЦЗС»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</w:t>
      </w:r>
      <w:r w:rsidR="00F832B1">
        <w:rPr>
          <w:sz w:val="28"/>
        </w:rPr>
        <w:t>9</w:t>
      </w:r>
      <w:r w:rsidR="000A34C7">
        <w:rPr>
          <w:sz w:val="28"/>
        </w:rPr>
        <w:t>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8F5CDF">
        <w:rPr>
          <w:sz w:val="28"/>
          <w:szCs w:val="28"/>
        </w:rPr>
        <w:t>Гурьянова А.С.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8F5CDF">
        <w:rPr>
          <w:sz w:val="28"/>
          <w:szCs w:val="28"/>
        </w:rPr>
        <w:t>2777Ю</w:t>
      </w:r>
      <w:r w:rsidRPr="00102A5D">
        <w:rPr>
          <w:sz w:val="28"/>
          <w:szCs w:val="28"/>
        </w:rPr>
        <w:t xml:space="preserve"> об административном прав</w:t>
      </w:r>
      <w:r w:rsidRPr="00102A5D">
        <w:rPr>
          <w:sz w:val="28"/>
          <w:szCs w:val="28"/>
        </w:rPr>
        <w:t xml:space="preserve">онарушении от </w:t>
      </w:r>
      <w:r w:rsidR="008F5CDF">
        <w:rPr>
          <w:sz w:val="28"/>
          <w:szCs w:val="28"/>
        </w:rPr>
        <w:t>29.09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8F5CDF">
        <w:rPr>
          <w:sz w:val="28"/>
          <w:szCs w:val="28"/>
        </w:rPr>
        <w:t>Гурьяновым А.С.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</w:t>
      </w:r>
      <w:r w:rsidRPr="00817CEC">
        <w:rPr>
          <w:sz w:val="28"/>
          <w:szCs w:val="28"/>
        </w:rPr>
        <w:t>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B323AC" w:rsidP="00B323AC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8F5CDF">
        <w:rPr>
          <w:sz w:val="28"/>
          <w:szCs w:val="28"/>
        </w:rPr>
        <w:t>26.09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генеральным дире</w:t>
      </w:r>
      <w:r>
        <w:rPr>
          <w:sz w:val="28"/>
          <w:szCs w:val="28"/>
        </w:rPr>
        <w:t xml:space="preserve">ктором </w:t>
      </w:r>
      <w:r w:rsidR="008F5CDF">
        <w:rPr>
          <w:sz w:val="28"/>
          <w:szCs w:val="28"/>
        </w:rPr>
        <w:t>ООО «ЦЗС»</w:t>
      </w:r>
      <w:r>
        <w:rPr>
          <w:sz w:val="28"/>
          <w:szCs w:val="28"/>
        </w:rPr>
        <w:t xml:space="preserve"> является </w:t>
      </w:r>
      <w:r w:rsidR="008F5CDF">
        <w:rPr>
          <w:sz w:val="28"/>
          <w:szCs w:val="28"/>
        </w:rPr>
        <w:t>Гурьянов А.С.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8F5CDF">
        <w:rPr>
          <w:sz w:val="28"/>
          <w:szCs w:val="28"/>
        </w:rPr>
        <w:t>Гурьянова А.С.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</w:t>
      </w:r>
      <w:r w:rsidRPr="005306D9">
        <w:rPr>
          <w:sz w:val="28"/>
        </w:rPr>
        <w:t xml:space="preserve">административного наказания </w:t>
      </w:r>
      <w:r w:rsidR="008F5CDF">
        <w:rPr>
          <w:sz w:val="28"/>
          <w:szCs w:val="28"/>
        </w:rPr>
        <w:t>Гурьянову А.С.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</w:t>
      </w:r>
      <w:r w:rsidRPr="005306D9">
        <w:rPr>
          <w:sz w:val="28"/>
        </w:rPr>
        <w:t>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</w:t>
      </w:r>
      <w:r w:rsidRPr="005306D9">
        <w:rPr>
          <w:sz w:val="28"/>
        </w:rPr>
        <w:t>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8F5CDF">
        <w:rPr>
          <w:sz w:val="28"/>
          <w:szCs w:val="28"/>
        </w:rPr>
        <w:t>Гурьянову А.С.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</w:t>
      </w:r>
      <w:r w:rsidRPr="005306D9">
        <w:rPr>
          <w:sz w:val="28"/>
        </w:rPr>
        <w:t>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</w:t>
      </w:r>
      <w:r w:rsidRPr="005306D9">
        <w:rPr>
          <w:sz w:val="28"/>
        </w:rPr>
        <w:t>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8F5CDF">
        <w:rPr>
          <w:sz w:val="28"/>
          <w:szCs w:val="28"/>
        </w:rPr>
        <w:t>Гурьянова Андрея Сергеевича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</w:t>
      </w:r>
      <w:r w:rsidRPr="004913D4">
        <w:rPr>
          <w:sz w:val="28"/>
        </w:rPr>
        <w:t>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</w:t>
      </w:r>
      <w:r>
        <w:rPr>
          <w:sz w:val="28"/>
        </w:rPr>
        <w:t xml:space="preserve">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F55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53A15"/>
    <w:rsid w:val="00164BB7"/>
    <w:rsid w:val="00193BA3"/>
    <w:rsid w:val="001C592D"/>
    <w:rsid w:val="002065C9"/>
    <w:rsid w:val="002A55E4"/>
    <w:rsid w:val="002B3340"/>
    <w:rsid w:val="002C7FCE"/>
    <w:rsid w:val="002C7FF1"/>
    <w:rsid w:val="002E2085"/>
    <w:rsid w:val="002E5ED2"/>
    <w:rsid w:val="00305816"/>
    <w:rsid w:val="00327ADE"/>
    <w:rsid w:val="00334F55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62348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5CDF"/>
    <w:rsid w:val="008F7117"/>
    <w:rsid w:val="009013B4"/>
    <w:rsid w:val="00906097"/>
    <w:rsid w:val="00964F5D"/>
    <w:rsid w:val="00973E1F"/>
    <w:rsid w:val="009A3CC2"/>
    <w:rsid w:val="009B288A"/>
    <w:rsid w:val="00A30ED6"/>
    <w:rsid w:val="00A55223"/>
    <w:rsid w:val="00A76D21"/>
    <w:rsid w:val="00AA22F1"/>
    <w:rsid w:val="00AB41EC"/>
    <w:rsid w:val="00B02E16"/>
    <w:rsid w:val="00B05005"/>
    <w:rsid w:val="00B0572F"/>
    <w:rsid w:val="00B323AC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71C68"/>
    <w:rsid w:val="00DA05D6"/>
    <w:rsid w:val="00DE5F16"/>
    <w:rsid w:val="00DE695A"/>
    <w:rsid w:val="00E9748B"/>
    <w:rsid w:val="00EB30AE"/>
    <w:rsid w:val="00ED2E36"/>
    <w:rsid w:val="00EE323E"/>
    <w:rsid w:val="00F21399"/>
    <w:rsid w:val="00F2657D"/>
    <w:rsid w:val="00F36FDB"/>
    <w:rsid w:val="00F43C81"/>
    <w:rsid w:val="00F51592"/>
    <w:rsid w:val="00F53659"/>
    <w:rsid w:val="00F832B1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D4E9-C170-4C25-8264-41F2EF8E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